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05ACAF82"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5A3579">
        <w:rPr>
          <w:rStyle w:val="Nessuno"/>
          <w:i/>
          <w:iCs/>
          <w:sz w:val="20"/>
          <w:szCs w:val="20"/>
        </w:rPr>
        <w:t>7</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2AF3828E" w14:textId="77777777" w:rsidR="005A3579" w:rsidRPr="005A3579" w:rsidRDefault="005A3579" w:rsidP="005A3579">
      <w:pPr>
        <w:tabs>
          <w:tab w:val="right" w:pos="7910"/>
          <w:tab w:val="left" w:pos="8080"/>
        </w:tabs>
        <w:spacing w:after="160" w:line="259" w:lineRule="auto"/>
        <w:ind w:right="139"/>
        <w:jc w:val="both"/>
        <w:rPr>
          <w:rFonts w:eastAsia="Calibri"/>
          <w:b/>
          <w:bCs/>
          <w:sz w:val="28"/>
          <w:szCs w:val="28"/>
          <w:lang w:eastAsia="en-US"/>
        </w:rPr>
      </w:pPr>
      <w:r w:rsidRPr="005A3579">
        <w:rPr>
          <w:rFonts w:eastAsia="Calibri"/>
          <w:b/>
          <w:bCs/>
          <w:sz w:val="28"/>
          <w:szCs w:val="28"/>
          <w:lang w:eastAsia="en-US"/>
        </w:rPr>
        <w:t>Dalla viticoltura alla sicurezza sul lavoro, i temi salienti di Agrilevante</w:t>
      </w:r>
    </w:p>
    <w:p w14:paraId="5AE45A61" w14:textId="77777777" w:rsidR="005A3579" w:rsidRPr="005A3579" w:rsidRDefault="005A3579" w:rsidP="005A3579">
      <w:pPr>
        <w:tabs>
          <w:tab w:val="right" w:pos="7910"/>
          <w:tab w:val="left" w:pos="8080"/>
        </w:tabs>
        <w:spacing w:after="160" w:line="259" w:lineRule="auto"/>
        <w:ind w:right="139"/>
        <w:jc w:val="both"/>
        <w:rPr>
          <w:rFonts w:eastAsia="Calibri"/>
          <w:b/>
          <w:bCs/>
          <w:i/>
          <w:iCs/>
          <w:lang w:eastAsia="en-US"/>
        </w:rPr>
      </w:pPr>
      <w:r w:rsidRPr="005A3579">
        <w:rPr>
          <w:rFonts w:eastAsia="Calibri"/>
          <w:b/>
          <w:bCs/>
          <w:i/>
          <w:iCs/>
          <w:lang w:eastAsia="en-US"/>
        </w:rPr>
        <w:t>La prima giornata della rassegna caratterizzata dagli incontri d’affari per le delegazioni estere ufficiali, ma anche da numerosi convegni di argomenti tecnico e scientifico. Annunciata per domani la presenza del Ministro Francesco Lollobrigida.</w:t>
      </w:r>
    </w:p>
    <w:p w14:paraId="056C0F16" w14:textId="1D9B234A" w:rsidR="005A3579" w:rsidRPr="005A3579" w:rsidRDefault="005A3579" w:rsidP="005A3579">
      <w:pPr>
        <w:tabs>
          <w:tab w:val="right" w:pos="7910"/>
          <w:tab w:val="left" w:pos="8080"/>
        </w:tabs>
        <w:spacing w:after="160" w:line="259" w:lineRule="auto"/>
        <w:ind w:right="139"/>
        <w:jc w:val="both"/>
        <w:rPr>
          <w:rFonts w:eastAsia="Calibri"/>
          <w:lang w:eastAsia="en-US"/>
        </w:rPr>
      </w:pPr>
      <w:r w:rsidRPr="005A3579">
        <w:rPr>
          <w:rFonts w:eastAsia="Calibri"/>
          <w:lang w:eastAsia="en-US"/>
        </w:rPr>
        <w:t xml:space="preserve">Bilancio positivo per la prima giornata di Agrilevante, la rassegna delle tecnologie per l’agricoltura che ha preso il via questa mattina alla fiera di Bari e che si chiuderà domenica sera. Ricca la partecipazione di pubblico e ricco il programma di incontri tra i rappresentanti della federazione dei costruttori italiani FederUnacoma, che è organizzatrice della rassegna, e le delegazioni di ministri e rappresentanti delle istituzioni governative di numerosi Paesi, fra i quali Azerbaijan, Repubblica del Congo, Ghana, Montenegro e Senegal. Avviato anche il calendario degli incontri “business-to-business” riservato agli operatori economici esteri di 35 Paesi, e organizzato in collaborazione con l’Agenzia ICE. Nei quattro giorni della rassegna sono previsti numerosi convegni di argomento tecnico, promossi dalle Università, dalle strutture per la ricerca e l’innovazione oltre che dalle case editrici specializzate. Nella mattina si è tenuto il convegno, promosso da ASL Bari e Puglia Salute, sul tema “Malattie emergenti e riemergenti: problematiche vecchie e nuove. Il risveglio della Blue </w:t>
      </w:r>
      <w:proofErr w:type="spellStart"/>
      <w:r w:rsidRPr="005A3579">
        <w:rPr>
          <w:rFonts w:eastAsia="Calibri"/>
          <w:lang w:eastAsia="en-US"/>
        </w:rPr>
        <w:t>Tongue</w:t>
      </w:r>
      <w:proofErr w:type="spellEnd"/>
      <w:r w:rsidRPr="005A3579">
        <w:rPr>
          <w:rFonts w:eastAsia="Calibri"/>
          <w:lang w:eastAsia="en-US"/>
        </w:rPr>
        <w:t>”; mentre le Università di Bari e Foggia, ARA Puglia e Regione Puglia hanno organizzato l’incontro dal titolo “Evento finale: le razze locali pugliesi: patrimonio di biodiversità, cultura e futuro sostenibile”. Nel pomeriggio l’Università della Basilicata ha dato vita ad un meeting sul tema del Digital Twin, mentre il tema della sicurezza sul lavoro è stato affrontato dall’Inail con un convegno dal titolo “L’attività Inail per la riduzione dei rischi nel settore agricolo”. Molto fitto il programma di divulgazione scientifica promosso dal Crea - il Consiglio per la ricerca in agricoltura e l’analisi economica agraria - che nella prima giornata ha realizzato sei incontri su temi tecnici, dai sistemi di precisione per la viticoltura e la zootecnia, alle esperienze avanzate nella coltivazione dei cereali, fino alle previsioni sull’agricoltura nel futuro. Cambiamenti climatici, viticoltura ed energie rinnovabili sono solo alcuni dei temi che saranno affrontati nelle prossime giornate, mentre spunti d’interesse politico emergeranno dalla giornata di domani, nel corso della quale sarà in visita ad Agrilevante il Ministro dell’Agricoltura, della sovranità alimentare e delle foreste Francesco Lollobrigida.</w:t>
      </w:r>
    </w:p>
    <w:p w14:paraId="7DEB7D75" w14:textId="77777777" w:rsidR="005E2BDF" w:rsidRPr="0016561E" w:rsidRDefault="005E2BDF" w:rsidP="00613678">
      <w:pPr>
        <w:jc w:val="both"/>
      </w:pPr>
    </w:p>
    <w:p w14:paraId="3C062458" w14:textId="7FE44618" w:rsidR="00320F88" w:rsidRPr="0016561E" w:rsidRDefault="002A5355" w:rsidP="0016561E">
      <w:pPr>
        <w:ind w:right="281"/>
        <w:jc w:val="both"/>
        <w:rPr>
          <w:b/>
          <w:bCs/>
          <w:sz w:val="23"/>
          <w:szCs w:val="23"/>
        </w:rPr>
      </w:pPr>
      <w:r>
        <w:rPr>
          <w:b/>
          <w:bCs/>
          <w:sz w:val="23"/>
          <w:szCs w:val="23"/>
        </w:rPr>
        <w:t xml:space="preserve">Bari, </w:t>
      </w:r>
      <w:r w:rsidR="00613678">
        <w:rPr>
          <w:b/>
          <w:bCs/>
          <w:sz w:val="23"/>
          <w:szCs w:val="23"/>
        </w:rPr>
        <w:t xml:space="preserve">9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0A8F" w14:textId="77777777" w:rsidR="00074E55" w:rsidRDefault="00074E55" w:rsidP="002C71A5">
      <w:r>
        <w:separator/>
      </w:r>
    </w:p>
  </w:endnote>
  <w:endnote w:type="continuationSeparator" w:id="0">
    <w:p w14:paraId="76DE4C25" w14:textId="77777777" w:rsidR="00074E55" w:rsidRDefault="00074E55"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8FF3" w14:textId="77777777" w:rsidR="00074E55" w:rsidRDefault="00074E55" w:rsidP="002C71A5">
      <w:r>
        <w:separator/>
      </w:r>
    </w:p>
  </w:footnote>
  <w:footnote w:type="continuationSeparator" w:id="0">
    <w:p w14:paraId="50175A1C" w14:textId="77777777" w:rsidR="00074E55" w:rsidRDefault="00074E55"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2025-10-09T16:44:00Z</dcterms:created>
  <dcterms:modified xsi:type="dcterms:W3CDTF">2025-10-09T16:44:00Z</dcterms:modified>
</cp:coreProperties>
</file>